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楷体" w:hAnsi="楷体" w:eastAsia="楷体" w:cs="仿宋"/>
          <w:sz w:val="36"/>
          <w:szCs w:val="36"/>
          <w:lang w:val="en-US" w:eastAsia="zh-CN"/>
        </w:rPr>
      </w:pPr>
      <w:r>
        <w:rPr>
          <w:rFonts w:hint="eastAsia" w:ascii="楷体" w:hAnsi="楷体" w:eastAsia="楷体" w:cs="仿宋"/>
          <w:sz w:val="36"/>
          <w:szCs w:val="36"/>
          <w:lang w:val="en-US" w:eastAsia="zh-CN"/>
        </w:rPr>
        <w:t>北京市百瑞律师事务所</w:t>
      </w:r>
    </w:p>
    <w:p>
      <w:pPr>
        <w:spacing w:line="360" w:lineRule="auto"/>
        <w:ind w:firstLine="560" w:firstLineChars="200"/>
        <w:rPr>
          <w:rFonts w:ascii="楷体" w:hAnsi="楷体" w:eastAsia="楷体" w:cs="仿宋"/>
          <w:sz w:val="28"/>
          <w:szCs w:val="28"/>
        </w:rPr>
      </w:pPr>
      <w:r>
        <w:rPr>
          <w:rFonts w:hint="eastAsia" w:ascii="楷体" w:hAnsi="楷体" w:eastAsia="楷体" w:cs="仿宋"/>
          <w:sz w:val="28"/>
          <w:szCs w:val="28"/>
        </w:rPr>
        <w:t>百瑞律师事务由一群热爱法律事业，拥有多年丰富法律实践经验的法律人于2002年创建。百瑞基于公平正义价值的认同，怀着法治报国的理想，不忘初心，砥砺前行，经过不断开拓进取，百瑞现已经发展成为在全国主要城市拥有分支机构、业内领先并致力于拓展境内外业务的大型律师事务所之一。</w:t>
      </w:r>
    </w:p>
    <w:p>
      <w:pPr>
        <w:spacing w:beforeLines="50" w:line="360" w:lineRule="auto"/>
        <w:ind w:firstLine="560" w:firstLineChars="200"/>
        <w:rPr>
          <w:rFonts w:ascii="楷体" w:hAnsi="楷体" w:eastAsia="楷体" w:cs="仿宋"/>
          <w:sz w:val="28"/>
          <w:szCs w:val="28"/>
        </w:rPr>
      </w:pPr>
      <w:r>
        <w:rPr>
          <w:rFonts w:hint="eastAsia" w:ascii="楷体" w:hAnsi="楷体" w:eastAsia="楷体" w:cs="仿宋"/>
          <w:sz w:val="28"/>
          <w:szCs w:val="28"/>
        </w:rPr>
        <w:t>百瑞作为一家综合性律师事务所，为向客户提供全方位的法律服务而不断地创新和变革。当今社会多元化、信息化的发展趋势以及律师行业的快速成长，使法律服务逐步由业务分类的专业化走向行业专业化。由于出发点和视角的不同而使得服务更全面的同时更专注、更纵深。工欲善其事，必先利其器。百瑞因时制宜，打造了高度体现法律服务专业化的民商事诉讼团队、金融证券团队、投资并购团队、政府与社会资本合作PPP团队、刑事团队、知识产权团队；对焦行业，组建了医药大健康团队、能源管理团队、涉外事务团队、财富传承团队；应对时下热点而形成的上市公司诉讼研究团队以及区块链、人工智能、大数据立法研究团队等。法律服务产业结构的改变促使当今律所不断地创新其发展模式。产业链一体化，锻造法律服务生态圈，必然成为未来主流模式。百瑞也在不断地探索更好的机制，适应时代，培育更多领域的专业团队，满足客户全方位法律需求。注重客户体验，因需而异。产业化、市场化、人性化、智能化，因为懂得不同而变得不同，因为接受改变而被未来接受，百瑞的探索从未停歇，发展从未止步。</w:t>
      </w:r>
    </w:p>
    <w:p>
      <w:pPr>
        <w:spacing w:beforeLines="50" w:line="360" w:lineRule="auto"/>
        <w:ind w:firstLine="560" w:firstLineChars="200"/>
        <w:rPr>
          <w:rFonts w:ascii="楷体" w:hAnsi="楷体" w:eastAsia="楷体" w:cs="仿宋"/>
          <w:sz w:val="28"/>
          <w:szCs w:val="28"/>
        </w:rPr>
      </w:pPr>
      <w:r>
        <w:rPr>
          <w:rFonts w:hint="eastAsia" w:ascii="楷体" w:hAnsi="楷体" w:eastAsia="楷体" w:cs="仿宋"/>
          <w:sz w:val="28"/>
          <w:szCs w:val="28"/>
        </w:rPr>
        <w:t>百瑞律师大多毕业于北京大学、清华大学、中国政法大学、中国人民大学、宾夕法尼亚大学等国内外知名学府，有非常扎实的法律专业功底和良好的职业操守；同时大多数合伙人都有着十年以上的律师执业经历，有处理各类法律事务的丰富经验，而且部分合伙人在执业前曾在国家立法、司法机关、中央部委、央企、外资机构等担任过重要职务，因此与政府各职能部门保持着很好的联系和沟通，能够很好地整合社会资源，服务于客户。部分合伙人、律师常年担任最高人民法院诉服中心咨询专家，中国政法大学、对外经贸大学、北京第二外语学院校兼职教授。为打造专业队伍，提升专业素养，百瑞所依托北大清华等教育学术优势，联合行业协会、知名专家学者、精英企业家、媒体等社会高端资源，陆续推出了“百瑞名师大讲堂”、“百瑞PPP论坛”、“百瑞沙龙”、“百瑞直播”、“百瑞研究”，让百瑞律所在专业领域不断增加影响力和话语权。</w:t>
      </w:r>
    </w:p>
    <w:p>
      <w:pPr>
        <w:spacing w:beforeLines="50" w:line="360" w:lineRule="auto"/>
        <w:ind w:firstLine="560" w:firstLineChars="200"/>
        <w:rPr>
          <w:rFonts w:ascii="楷体" w:hAnsi="楷体" w:eastAsia="楷体" w:cs="仿宋"/>
          <w:sz w:val="28"/>
          <w:szCs w:val="28"/>
        </w:rPr>
      </w:pPr>
      <w:r>
        <w:rPr>
          <w:rFonts w:hint="eastAsia" w:ascii="楷体" w:hAnsi="楷体" w:eastAsia="楷体" w:cs="仿宋"/>
          <w:sz w:val="28"/>
          <w:szCs w:val="28"/>
        </w:rPr>
        <w:t>百瑞现已在深圳、济南、苏州、无锡、上海、成都、重庆、天津、哈尔滨设立分所，杭州分所、郑州分所、太原分所、石家庄分所、长春分所、西安分所、沈阳分所也正在筹建之中。顺应全球化的趋势，响应国家“一带一路”战略，百瑞与寰智（Pangea Vision）欧洲专利律师事务所建立了战略合作关系，还分别在香港、西班牙、韩国、德国、美国等国家设立联络机构或办事处，为高端客户搭建全球化法律服务体系。</w:t>
      </w:r>
    </w:p>
    <w:p>
      <w:pPr>
        <w:spacing w:beforeLines="50" w:line="360" w:lineRule="auto"/>
        <w:ind w:firstLine="560" w:firstLineChars="200"/>
        <w:rPr>
          <w:rFonts w:ascii="楷体" w:hAnsi="楷体" w:eastAsia="楷体" w:cs="仿宋"/>
          <w:sz w:val="28"/>
          <w:szCs w:val="28"/>
        </w:rPr>
      </w:pPr>
      <w:r>
        <w:rPr>
          <w:rFonts w:hint="eastAsia" w:ascii="楷体" w:hAnsi="楷体" w:eastAsia="楷体" w:cs="仿宋"/>
          <w:sz w:val="28"/>
          <w:szCs w:val="28"/>
        </w:rPr>
        <w:t>百瑞自成立以来，锐意进取，成</w:t>
      </w:r>
      <w:bookmarkStart w:id="0" w:name="_GoBack"/>
      <w:bookmarkEnd w:id="0"/>
      <w:r>
        <w:rPr>
          <w:rFonts w:hint="eastAsia" w:ascii="楷体" w:hAnsi="楷体" w:eastAsia="楷体" w:cs="仿宋"/>
          <w:sz w:val="28"/>
          <w:szCs w:val="28"/>
        </w:rPr>
        <w:t>绩斐然，连续多年获得北京市司法局授予的“十佳律师事务所”荣誉称号，以及北京市律协和海淀区律协授予的“北京市优秀律师事务所”、“品牌律师事务所”、“明星律师事务所”、“先进集体”、“优秀党组织”等荣誉称号。</w:t>
      </w:r>
    </w:p>
    <w:p>
      <w:pPr>
        <w:spacing w:beforeLines="50" w:line="360" w:lineRule="auto"/>
        <w:ind w:firstLine="560" w:firstLineChars="200"/>
        <w:rPr>
          <w:rFonts w:ascii="楷体" w:hAnsi="楷体" w:eastAsia="楷体" w:cs="仿宋"/>
          <w:sz w:val="28"/>
          <w:szCs w:val="28"/>
        </w:rPr>
      </w:pPr>
      <w:r>
        <w:rPr>
          <w:rFonts w:hint="eastAsia" w:ascii="楷体" w:hAnsi="楷体" w:eastAsia="楷体" w:cs="仿宋"/>
          <w:sz w:val="28"/>
          <w:szCs w:val="28"/>
        </w:rPr>
        <w:t>百瑞为众多国家机关、世界500强企业、上市公司及其他企事业单位提供了卓有成效的法律服务，承办了大量诉讼、仲裁案件及非诉讼法律业务，范围涉及民商事诉讼、公司治理、金融证券、国际工程、国际投资、国际融资、国际贸易、国际货运、合同能源管理、CDM气候交易、环保、保险、反倾销反垄断、知识产权、房地产、破产清算、企业上市、公司重组、企业并购、企业改制、企业债发行、海事海商、刑事诉讼、行政复议、PPP咨询、政府法律顾问、建筑工程、债务清查、税务、医疗大健康、私募基金等领域。百瑞律师以出色的专业水平、勤勉尽职的工作态度以及良好的工作业绩，获得客户的高度评价和认可。</w:t>
      </w:r>
    </w:p>
    <w:p>
      <w:pPr>
        <w:spacing w:beforeLines="50" w:line="360" w:lineRule="auto"/>
        <w:ind w:firstLine="560" w:firstLineChars="200"/>
        <w:rPr>
          <w:rFonts w:ascii="楷体" w:hAnsi="楷体" w:eastAsia="楷体" w:cs="仿宋"/>
          <w:sz w:val="28"/>
          <w:szCs w:val="28"/>
        </w:rPr>
      </w:pPr>
      <w:r>
        <w:rPr>
          <w:rFonts w:hint="eastAsia" w:ascii="楷体" w:hAnsi="楷体" w:eastAsia="楷体" w:cs="仿宋"/>
          <w:sz w:val="28"/>
          <w:szCs w:val="28"/>
        </w:rPr>
        <w:t xml:space="preserve">百瑞以积极进取的态度，勇担社会责任的情怀，在专业研究领域也坚持着不断创新和深入。百瑞先后设立海淀区法律援助工作站、北京市百瑞法律援助与研究中心；与北京市海淀区律师协会合作先后成立政府与社会资本融合PPP研究会、政府法律服务研究会；同时承担了中国政法大学教学实践基地的重要职能。党建工作不断助力百瑞提高政治站位，做有情怀的法律服务商，以“五进三维护”公益行动为抓手，律所专门设置了社会责任委员会，成立了70余人的百瑞公益律师宣讲团，开展“进政府”、“进社区”、“进企业”、“进学校”、“进农村”的法治宣讲活动，累积公益宣讲1000余场，受到律师行业党委和社会各界广泛赞誉！ </w:t>
      </w:r>
    </w:p>
    <w:p>
      <w:pPr>
        <w:spacing w:beforeLines="50" w:line="360" w:lineRule="auto"/>
        <w:ind w:firstLine="560" w:firstLineChars="200"/>
        <w:rPr>
          <w:rFonts w:ascii="楷体" w:hAnsi="楷体" w:eastAsia="楷体" w:cs="仿宋"/>
          <w:sz w:val="28"/>
          <w:szCs w:val="28"/>
        </w:rPr>
      </w:pPr>
      <w:r>
        <w:rPr>
          <w:rFonts w:hint="eastAsia" w:ascii="楷体" w:hAnsi="楷体" w:eastAsia="楷体" w:cs="仿宋"/>
          <w:sz w:val="28"/>
          <w:szCs w:val="28"/>
        </w:rPr>
        <w:t>百计千方，护您瑞祥！百瑞在发展壮大的过程中，一直着眼于践行社会责任，推动法治建设，关注行业，关怀客户。致力于为海内外企业的健康蓬勃发展提供全方位的法律咨询与服务的同时，也为中小企业、科技创新企业的发展壮大而研究开发法律服务产品，让越来越多的商业梦想在百瑞的保驾护航下创立、发展、成就未来，用行动助力实业兴国、科技强国。</w:t>
      </w:r>
    </w:p>
    <w:sectPr>
      <w:headerReference r:id="rId4" w:type="first"/>
      <w:footerReference r:id="rId6" w:type="firs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Yu Gothic">
    <w:altName w:val="MS Gothic"/>
    <w:panose1 w:val="020B0400000000000000"/>
    <w:charset w:val="80"/>
    <w:family w:val="swiss"/>
    <w:pitch w:val="default"/>
    <w:sig w:usb0="00000000" w:usb1="00000000" w:usb2="00000016" w:usb3="00000000" w:csb0="0002009F"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098"/>
    <w:rsid w:val="0007230C"/>
    <w:rsid w:val="00104C22"/>
    <w:rsid w:val="00132252"/>
    <w:rsid w:val="00137931"/>
    <w:rsid w:val="001969DF"/>
    <w:rsid w:val="001A086A"/>
    <w:rsid w:val="002111FD"/>
    <w:rsid w:val="00216A33"/>
    <w:rsid w:val="00370CC1"/>
    <w:rsid w:val="00376A43"/>
    <w:rsid w:val="00425A12"/>
    <w:rsid w:val="00535787"/>
    <w:rsid w:val="005544BC"/>
    <w:rsid w:val="00564BAA"/>
    <w:rsid w:val="005F5868"/>
    <w:rsid w:val="0066492D"/>
    <w:rsid w:val="006976A6"/>
    <w:rsid w:val="007351B2"/>
    <w:rsid w:val="00867F18"/>
    <w:rsid w:val="0088569C"/>
    <w:rsid w:val="008E0D3A"/>
    <w:rsid w:val="0095147C"/>
    <w:rsid w:val="009D0FA8"/>
    <w:rsid w:val="009F4B2A"/>
    <w:rsid w:val="00A63786"/>
    <w:rsid w:val="00BA0769"/>
    <w:rsid w:val="00BA5B8C"/>
    <w:rsid w:val="00BC3EC8"/>
    <w:rsid w:val="00CA319A"/>
    <w:rsid w:val="00CA5878"/>
    <w:rsid w:val="00CD4195"/>
    <w:rsid w:val="00D07D70"/>
    <w:rsid w:val="00DC362B"/>
    <w:rsid w:val="00DC3A7F"/>
    <w:rsid w:val="00E42098"/>
    <w:rsid w:val="00E508C7"/>
    <w:rsid w:val="00EC0DBB"/>
    <w:rsid w:val="00F85541"/>
    <w:rsid w:val="275C64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16"/>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8"/>
    <w:link w:val="7"/>
    <w:uiPriority w:val="99"/>
    <w:rPr>
      <w:sz w:val="18"/>
      <w:szCs w:val="18"/>
    </w:rPr>
  </w:style>
  <w:style w:type="character" w:customStyle="1" w:styleId="11">
    <w:name w:val="页脚 Char"/>
    <w:basedOn w:val="8"/>
    <w:link w:val="6"/>
    <w:uiPriority w:val="99"/>
    <w:rPr>
      <w:sz w:val="18"/>
      <w:szCs w:val="18"/>
    </w:rPr>
  </w:style>
  <w:style w:type="character" w:customStyle="1" w:styleId="12">
    <w:name w:val="标题 1 Char"/>
    <w:basedOn w:val="8"/>
    <w:link w:val="2"/>
    <w:uiPriority w:val="9"/>
    <w:rPr>
      <w:rFonts w:ascii="Times New Roman" w:hAnsi="Times New Roman" w:eastAsia="宋体" w:cs="Times New Roman"/>
      <w:b/>
      <w:bCs/>
      <w:kern w:val="44"/>
      <w:sz w:val="44"/>
      <w:szCs w:val="44"/>
    </w:rPr>
  </w:style>
  <w:style w:type="paragraph" w:styleId="1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4">
    <w:name w:val="标题 2 Char"/>
    <w:basedOn w:val="8"/>
    <w:link w:val="3"/>
    <w:qFormat/>
    <w:uiPriority w:val="9"/>
    <w:rPr>
      <w:rFonts w:asciiTheme="majorHAnsi" w:hAnsiTheme="majorHAnsi" w:eastAsiaTheme="majorEastAsia" w:cstheme="majorBidi"/>
      <w:b/>
      <w:bCs/>
      <w:sz w:val="32"/>
      <w:szCs w:val="32"/>
    </w:rPr>
  </w:style>
  <w:style w:type="character" w:customStyle="1" w:styleId="15">
    <w:name w:val="标题 3 Char"/>
    <w:basedOn w:val="8"/>
    <w:link w:val="4"/>
    <w:qFormat/>
    <w:uiPriority w:val="9"/>
    <w:rPr>
      <w:rFonts w:ascii="Times New Roman" w:hAnsi="Times New Roman" w:eastAsia="宋体" w:cs="Times New Roman"/>
      <w:b/>
      <w:bCs/>
      <w:sz w:val="32"/>
      <w:szCs w:val="32"/>
    </w:rPr>
  </w:style>
  <w:style w:type="character" w:customStyle="1" w:styleId="16">
    <w:name w:val="批注框文本 Char"/>
    <w:basedOn w:val="8"/>
    <w:link w:val="5"/>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443</Words>
  <Characters>2528</Characters>
  <Lines>21</Lines>
  <Paragraphs>5</Paragraphs>
  <TotalTime>15</TotalTime>
  <ScaleCrop>false</ScaleCrop>
  <LinksUpToDate>false</LinksUpToDate>
  <CharactersWithSpaces>2966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2018-12-21T08:44:00Z</dcterms:created>
  <dc:creator>周 朝</dc:creator>
  <cp:lastModifiedBy>柳茹</cp:lastModifiedBy>
  <cp:lastPrinted>2018-12-21T08:52:00Z</cp:lastPrinted>
  <dcterms:modified xsi:type="dcterms:W3CDTF">2019-01-16T07:44:20Z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